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88" w:rsidRPr="00DA0388" w:rsidRDefault="00DA0388" w:rsidP="00DA0388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DA0388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УМК «Школа России»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5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1 класса</w:t>
        </w:r>
      </w:hyperlink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6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2 класса</w:t>
        </w:r>
      </w:hyperlink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7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3 класса</w:t>
        </w:r>
      </w:hyperlink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8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4 класса</w:t>
        </w:r>
      </w:hyperlink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УМК </w:t>
      </w:r>
      <w:hyperlink r:id="rId9" w:history="1">
        <w:r w:rsidRPr="00DA0388">
          <w:rPr>
            <w:rFonts w:ascii="Arial" w:eastAsia="Times New Roman" w:hAnsi="Arial" w:cs="Arial"/>
            <w:b/>
            <w:bCs/>
            <w:color w:val="008000"/>
            <w:sz w:val="28"/>
            <w:szCs w:val="18"/>
            <w:u w:val="single"/>
            <w:bdr w:val="none" w:sz="0" w:space="0" w:color="auto" w:frame="1"/>
            <w:lang w:eastAsia="ru-RU"/>
          </w:rPr>
          <w:t>«Школа России»</w:t>
        </w:r>
      </w:hyperlink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 состоит из следующих завершенных предметных линий учебников, которые включены в федеральный перечень рекомендуемых учебников (приказ 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proofErr w:type="spellStart"/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Минпросвещения</w:t>
      </w:r>
      <w:proofErr w:type="spellEnd"/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России от 28.12.2018 N 345):</w:t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Русский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Азбука. Горецкий В.Г., Кирюшкин В.А., Виноградская Л.А. и др. (1 класс)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Русский язык.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Канакина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В.П., Горецкий В.Г.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Литературное чтение.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Климанова Л.Ф., Горецкий В.Г., Голованова М.В. и др.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 Математика.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Моро М.И., Волкова С.И., Степанова С.В.,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Бантова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М.А., Бельтюкова Г.В.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Информатика.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Семенов А.Л., Рудченко Т.А.  (3-4 классы)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Окружающий мир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 Плешаков А.А.,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Крючкова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Е.А.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Изобразительное искусство.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Неменская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Л.А.,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Коротеева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Е.И., Горяева Н.А., Питерских А.С. и др.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Музыка.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 Критская Е.Д., Сергеева Г.П.,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Шмагина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Т.С.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Технология.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Лутцева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Е.А., Зуева Т.П.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bookmarkStart w:id="0" w:name="_GoBack"/>
      <w:bookmarkEnd w:id="0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Физическая культура.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Гимнастика.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 Винер И.А.,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Горбулина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Н.М., Цыганкова О.Д. </w:t>
      </w:r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(Учебники могут использоваться в составе систем учебников «Школа России» и </w:t>
      </w:r>
      <w:hyperlink r:id="rId10" w:history="1">
        <w:r w:rsidRPr="00DA0388">
          <w:rPr>
            <w:rFonts w:ascii="Arial" w:eastAsia="Times New Roman" w:hAnsi="Arial" w:cs="Arial"/>
            <w:i/>
            <w:i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«Перспектива»</w:t>
        </w:r>
      </w:hyperlink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). 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lastRenderedPageBreak/>
        <w:t>Все учебники, вошедшие в новый перечень, переизданы с изменениями и дополнениями.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В связи с этим обучение по старым и новым учебникам в одном классе не рекомендуется методистами издательства.</w:t>
      </w:r>
    </w:p>
    <w:p w:rsidR="00DA0388" w:rsidRPr="00DA0388" w:rsidRDefault="00DA0388" w:rsidP="00DA0388">
      <w:pPr>
        <w:shd w:val="clear" w:color="auto" w:fill="FFFFFF"/>
        <w:spacing w:before="225" w:after="225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Учебники системы «Школа России», не вошедшие в новый перечень, входили в федеральный перечень рекомендуемых учебников (приказ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Минобрнауки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России от 31 марта 2014г. N 253). Поэтому образовательные организации вправе в течение трех лет использовать ранее приобретенные учебники.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Учебники для изучения предметной области «Основы религиозных культур и светской этики» (ОРКСЭ) в 4 классе </w:t>
      </w:r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(могут использоваться в составе систем учебников «Школа России» и </w:t>
      </w:r>
      <w:hyperlink r:id="rId11" w:history="1">
        <w:r w:rsidRPr="00DA0388">
          <w:rPr>
            <w:rFonts w:ascii="Arial" w:eastAsia="Times New Roman" w:hAnsi="Arial" w:cs="Arial"/>
            <w:i/>
            <w:i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«Перспектива»</w:t>
        </w:r>
      </w:hyperlink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)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: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ОРКСЭ. Основы православной культуры. Кураев А.В.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 ОРКСЭ. Основы исламской культуры.</w:t>
      </w:r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Латышина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Д.И.,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Муртазин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М.Ф.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иудейской культуры. Членов М.А.,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Миндрина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Г.А.,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Глоцер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буддийской культуры.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Чимитдоржиев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В.Л.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мировых религиозных культур.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Беглов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А.Л., Саплина Е.В., Токарева Е.С. и др.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светской этики.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Шемшурина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А.И.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Изучение иностранных языков по следующим УМК издательства «Просвещение»: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2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«Английский в фокусе» («</w:t>
        </w:r>
        <w:proofErr w:type="spellStart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Spotlight</w:t>
        </w:r>
        <w:proofErr w:type="spellEnd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»)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Быкова Н.И., Дули Д., Поспелова М.Д., Эванс В. (1-4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3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«Звездный английский» («</w:t>
        </w:r>
        <w:proofErr w:type="spellStart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Starlight</w:t>
        </w:r>
        <w:proofErr w:type="spellEnd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»)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 Баранова К.М., Дули Д., Копылова В.В.,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Мильруд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Р.П., Эванс В. (углубленное изучение: 1-4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- </w:t>
      </w:r>
      <w:hyperlink r:id="rId14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Английский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.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Кузовлев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В.П.,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Перегудова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Э.Ш., Пастухова С.А., Лапа Н.М., Костина И.П.,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Дуванова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О.В. (2-4 классы)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(не включен в новый перечень)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hyperlink r:id="rId15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Английский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 Верещагина И.Н., Бондаренко К.А.,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Притыкина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Т.А., Афанасьева О.В. (углубленное изучение: 2-4 классы)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 Алексеев А.А., Смирнова Е.Ю.,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Э.Хайн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и др. (2-4 классы). УМК «Сферы»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hyperlink r:id="rId16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Немецкий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Бим И.Л., Рыжова Л.И., Фомичева Л.М. (2-4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Немецкий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 «Вундеркинды Плюс». Захарова О.Л.,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Цойнер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К.Р. 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lastRenderedPageBreak/>
        <w:t>(базовое и углубленное изучение: 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Французский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7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«Твой друг французский язык»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Кулигина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А.С., Кирьянова М.Г. (2-4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Французский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8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«Французский в перспективе»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 Касаткина Н.М., Белосельская Т.В., Гусева А.В., Береговская Э.М. (углубленное изучение: 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Испанский язык.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Воинова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Бухарова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Ю.А., Морено К.В. (2-4 классы) 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Официальный сайт УМК «Школа России» </w:t>
      </w:r>
      <w:hyperlink r:id="rId19" w:tgtFrame="_blank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1-4.prosv.ru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,  </w:t>
      </w:r>
      <w:hyperlink r:id="rId20" w:tgtFrame="_blank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school-russia.prosv.ru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</w:p>
    <w:p w:rsidR="00217CF3" w:rsidRPr="00DA0388" w:rsidRDefault="00217CF3" w:rsidP="00DA0388">
      <w:pPr>
        <w:spacing w:line="276" w:lineRule="auto"/>
        <w:rPr>
          <w:sz w:val="36"/>
        </w:rPr>
      </w:pPr>
    </w:p>
    <w:sectPr w:rsidR="00217CF3" w:rsidRPr="00D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B"/>
    <w:rsid w:val="00217CF3"/>
    <w:rsid w:val="00DA0388"/>
    <w:rsid w:val="00E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88E6"/>
  <w15:chartTrackingRefBased/>
  <w15:docId w15:val="{B589A270-819E-4E02-8DF5-B80E9BA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ru/index.php/progs/shkola-rossii/umk/4class.html" TargetMode="External"/><Relationship Id="rId13" Type="http://schemas.openxmlformats.org/officeDocument/2006/relationships/hyperlink" Target="https://schoolguide.ru/index.php/english/starlight.html" TargetMode="External"/><Relationship Id="rId18" Type="http://schemas.openxmlformats.org/officeDocument/2006/relationships/hyperlink" Target="https://schoolguide.ru/index.php/francuzskij/french-v-perspektiv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guide.ru/index.php/progs/shkola-rossii/umk/3class.html" TargetMode="External"/><Relationship Id="rId12" Type="http://schemas.openxmlformats.org/officeDocument/2006/relationships/hyperlink" Target="https://schoolguide.ru/index.php/english/spotlight.html" TargetMode="External"/><Relationship Id="rId17" Type="http://schemas.openxmlformats.org/officeDocument/2006/relationships/hyperlink" Target="https://schoolguide.ru/index.php/francuzskij/french-tvoy-dru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uide.ru/index.php/deutsch/deutsch-die-ersten-schritte.html" TargetMode="External"/><Relationship Id="rId20" Type="http://schemas.openxmlformats.org/officeDocument/2006/relationships/hyperlink" Target="http://school-russia.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guide.ru/index.php/progs/shkola-rossii/umk/2class.html" TargetMode="External"/><Relationship Id="rId11" Type="http://schemas.openxmlformats.org/officeDocument/2006/relationships/hyperlink" Target="https://schoolguide.ru/index.php/progs/perspectiva/ucheb.html" TargetMode="External"/><Relationship Id="rId5" Type="http://schemas.openxmlformats.org/officeDocument/2006/relationships/hyperlink" Target="https://schoolguide.ru/index.php/progs/shkola-rossii/umk/1class.html" TargetMode="External"/><Relationship Id="rId15" Type="http://schemas.openxmlformats.org/officeDocument/2006/relationships/hyperlink" Target="https://schoolguide.ru/index.php/english/vereshchagina.html" TargetMode="External"/><Relationship Id="rId10" Type="http://schemas.openxmlformats.org/officeDocument/2006/relationships/hyperlink" Target="https://schoolguide.ru/index.php/progs/perspectiva/ucheb.html" TargetMode="External"/><Relationship Id="rId19" Type="http://schemas.openxmlformats.org/officeDocument/2006/relationships/hyperlink" Target="http://1-4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guide.ru/index.php/progs/shkola-rossii.html" TargetMode="External"/><Relationship Id="rId14" Type="http://schemas.openxmlformats.org/officeDocument/2006/relationships/hyperlink" Target="https://schoolguide.ru/index.php/english/kuzovle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F82B-0198-4252-B084-77CFB472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2020-05-27T09:57:00Z</dcterms:created>
  <dcterms:modified xsi:type="dcterms:W3CDTF">2020-05-27T10:04:00Z</dcterms:modified>
</cp:coreProperties>
</file>